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E8657" w14:textId="5B9F50E6" w:rsidR="00DE7A4E" w:rsidRPr="0052548E" w:rsidRDefault="00DE7A4E" w:rsidP="00DE7A4E">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w:t>
      </w:r>
      <w:r w:rsidR="008C417B">
        <w:rPr>
          <w:rFonts w:ascii="Arial" w:hAnsi="Arial" w:cs="Arial"/>
          <w:b/>
          <w:bCs/>
          <w:sz w:val="28"/>
        </w:rPr>
        <w:t>01836</w:t>
      </w:r>
      <w:bookmarkStart w:id="0" w:name="_GoBack"/>
      <w:bookmarkEnd w:id="0"/>
    </w:p>
    <w:p w14:paraId="2BB48D40" w14:textId="77777777" w:rsidR="00DE7A4E" w:rsidRPr="009513AC" w:rsidRDefault="00DE7A4E" w:rsidP="00DE7A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356F171" w14:textId="77777777" w:rsidR="004B14A7" w:rsidRPr="00DE7A4E" w:rsidRDefault="004B14A7" w:rsidP="0018258D">
      <w:pPr>
        <w:snapToGrid w:val="0"/>
        <w:spacing w:after="0" w:line="288" w:lineRule="auto"/>
        <w:ind w:left="1988" w:hanging="1988"/>
        <w:jc w:val="both"/>
        <w:rPr>
          <w:rFonts w:ascii="Arial" w:hAnsi="Arial" w:cs="Arial"/>
          <w:b/>
          <w:sz w:val="24"/>
        </w:rPr>
      </w:pPr>
    </w:p>
    <w:p w14:paraId="68A16550" w14:textId="27F55F5A" w:rsidR="00172612" w:rsidRPr="007F6112" w:rsidRDefault="00172612" w:rsidP="0018258D">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B13338">
        <w:rPr>
          <w:rFonts w:ascii="Arial" w:hAnsi="Arial" w:cs="Arial"/>
          <w:b/>
          <w:sz w:val="24"/>
          <w:lang w:val="en-US"/>
        </w:rPr>
        <w:t>5</w:t>
      </w:r>
    </w:p>
    <w:p w14:paraId="12B88FC6" w14:textId="77777777"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98F26C8"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1A1690" w:rsidRPr="001A1690">
        <w:rPr>
          <w:rFonts w:ascii="Arial" w:hAnsi="Arial" w:cs="Arial"/>
          <w:b/>
          <w:sz w:val="24"/>
          <w:lang w:val="en-US"/>
        </w:rPr>
        <w:t xml:space="preserve">Discussion on RAN3 LS on TCI state update for L1L2-centric inter-Cell mobility </w:t>
      </w:r>
    </w:p>
    <w:p w14:paraId="68473AC3" w14:textId="77777777" w:rsidR="008762F7" w:rsidRPr="007F6112" w:rsidRDefault="008762F7"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3AAC8070" w14:textId="5B248BCE" w:rsidR="00B13338" w:rsidRPr="006913E9" w:rsidRDefault="00DC607A" w:rsidP="00DC607A">
      <w:pPr>
        <w:widowControl w:val="0"/>
        <w:snapToGrid w:val="0"/>
        <w:spacing w:beforeLines="50" w:before="120" w:line="288" w:lineRule="auto"/>
        <w:jc w:val="both"/>
        <w:rPr>
          <w:rFonts w:ascii="Arial" w:hAnsi="Arial" w:cs="Arial"/>
          <w:lang w:eastAsia="zh-CN"/>
        </w:rPr>
      </w:pPr>
      <w:r>
        <w:rPr>
          <w:rFonts w:eastAsia="宋体"/>
          <w:kern w:val="2"/>
          <w:sz w:val="21"/>
          <w:szCs w:val="21"/>
          <w:lang w:val="en-US" w:eastAsia="zh-CN"/>
        </w:rPr>
        <w:t xml:space="preserve">RAN1 received a Reply LS from RAN3 regarding </w:t>
      </w:r>
      <w:r w:rsidRPr="00DC607A">
        <w:rPr>
          <w:rFonts w:eastAsia="宋体"/>
          <w:kern w:val="2"/>
          <w:sz w:val="21"/>
          <w:szCs w:val="21"/>
          <w:lang w:val="en-US" w:eastAsia="zh-CN"/>
        </w:rPr>
        <w:t>TCI state update for L1L2-centric inter-Cell mobility</w:t>
      </w:r>
      <w:r>
        <w:rPr>
          <w:rFonts w:eastAsia="宋体"/>
          <w:kern w:val="2"/>
          <w:sz w:val="21"/>
          <w:szCs w:val="21"/>
          <w:lang w:val="en-US" w:eastAsia="zh-CN"/>
        </w:rPr>
        <w:t xml:space="preserve"> [1]. In this contribution, we provide our views regarding this issue. </w:t>
      </w:r>
    </w:p>
    <w:p w14:paraId="60F3EE91" w14:textId="673ECE3E" w:rsidR="003076F9" w:rsidRPr="00621824" w:rsidRDefault="0049118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tbl>
      <w:tblPr>
        <w:tblStyle w:val="af1"/>
        <w:tblW w:w="0" w:type="auto"/>
        <w:tblLook w:val="04A0" w:firstRow="1" w:lastRow="0" w:firstColumn="1" w:lastColumn="0" w:noHBand="0" w:noVBand="1"/>
      </w:tblPr>
      <w:tblGrid>
        <w:gridCol w:w="9855"/>
      </w:tblGrid>
      <w:tr w:rsidR="00DC607A" w14:paraId="1AB9CB65" w14:textId="77777777" w:rsidTr="00DC607A">
        <w:tc>
          <w:tcPr>
            <w:tcW w:w="9855" w:type="dxa"/>
            <w:tcBorders>
              <w:top w:val="single" w:sz="4" w:space="0" w:color="auto"/>
              <w:left w:val="single" w:sz="4" w:space="0" w:color="auto"/>
              <w:bottom w:val="single" w:sz="4" w:space="0" w:color="auto"/>
              <w:right w:val="single" w:sz="4" w:space="0" w:color="auto"/>
            </w:tcBorders>
            <w:hideMark/>
          </w:tcPr>
          <w:p w14:paraId="266A0434" w14:textId="09178375" w:rsidR="00DC607A" w:rsidRDefault="00DC607A" w:rsidP="00DC607A">
            <w:pPr>
              <w:pStyle w:val="a4"/>
              <w:tabs>
                <w:tab w:val="center" w:pos="4153"/>
                <w:tab w:val="right" w:pos="8306"/>
              </w:tabs>
              <w:rPr>
                <w:b w:val="0"/>
                <w:lang w:eastAsia="zh-CN"/>
              </w:rPr>
            </w:pPr>
            <w:r>
              <w:rPr>
                <w:rFonts w:eastAsia="宋体"/>
                <w:b w:val="0"/>
                <w:sz w:val="20"/>
                <w:lang w:val="en-GB"/>
              </w:rPr>
              <w:t xml:space="preserve">RAN3 thanks RAN1 and RAN4 for LS on on Clarification on TCI State Update for L1/L2-Centric Inter-Cell Mobility. RAN3 is aware that the term “non-serving cell” is not used in RAN1/2. However, from the RAN4 LS (R3-214702/R4-2115357), RAN3 understands that a non-serving cell is a neighbour cell with a different PCI from serving cell and that a UE can be scheduled data on both serving and non-serving cells. RAN3 would like to clarify that the understanding derived from the reply LS from RAN4 is correct also for RAN1. Meanwhile, RAN3 would use the term “a TRP associated with a PCI different from that of the serving cell” instead of “non-serving cell” in inter-cell beam management. </w:t>
            </w:r>
            <w:r>
              <w:rPr>
                <w:rFonts w:eastAsia="宋体" w:hint="eastAsia"/>
                <w:b w:val="0"/>
                <w:sz w:val="20"/>
                <w:lang w:val="en-GB"/>
              </w:rPr>
              <w:t xml:space="preserve">It is </w:t>
            </w:r>
            <w:r>
              <w:rPr>
                <w:rFonts w:eastAsia="宋体"/>
                <w:b w:val="0"/>
                <w:sz w:val="20"/>
                <w:lang w:val="en-GB"/>
              </w:rPr>
              <w:t xml:space="preserve">also </w:t>
            </w:r>
            <w:r>
              <w:rPr>
                <w:rFonts w:eastAsia="宋体" w:hint="eastAsia"/>
                <w:b w:val="0"/>
                <w:sz w:val="20"/>
                <w:lang w:val="en-GB"/>
              </w:rPr>
              <w:t xml:space="preserve">noted </w:t>
            </w:r>
            <w:r>
              <w:rPr>
                <w:rFonts w:eastAsia="宋体"/>
                <w:b w:val="0"/>
                <w:sz w:val="20"/>
                <w:lang w:val="en-GB"/>
              </w:rPr>
              <w:t xml:space="preserve">that </w:t>
            </w:r>
            <w:r>
              <w:rPr>
                <w:rFonts w:eastAsia="宋体" w:hint="eastAsia"/>
                <w:b w:val="0"/>
                <w:sz w:val="20"/>
                <w:lang w:val="en-GB"/>
              </w:rPr>
              <w:t>RAN3 has two meeting</w:t>
            </w:r>
            <w:r>
              <w:rPr>
                <w:rFonts w:eastAsia="宋体"/>
                <w:b w:val="0"/>
                <w:sz w:val="20"/>
                <w:lang w:val="en-GB"/>
              </w:rPr>
              <w:t>s left</w:t>
            </w:r>
            <w:r>
              <w:rPr>
                <w:rFonts w:eastAsia="宋体" w:hint="eastAsia"/>
                <w:b w:val="0"/>
                <w:sz w:val="20"/>
                <w:lang w:val="en-GB"/>
              </w:rPr>
              <w:t xml:space="preserve"> in Rel-17 and has no </w:t>
            </w:r>
            <w:r>
              <w:rPr>
                <w:rFonts w:eastAsia="宋体"/>
                <w:b w:val="0"/>
                <w:sz w:val="20"/>
                <w:lang w:val="en-GB"/>
              </w:rPr>
              <w:t xml:space="preserve">TU </w:t>
            </w:r>
            <w:r>
              <w:rPr>
                <w:rFonts w:eastAsia="宋体" w:hint="eastAsia"/>
                <w:b w:val="0"/>
                <w:sz w:val="20"/>
                <w:lang w:val="en-GB"/>
              </w:rPr>
              <w:t>allocate</w:t>
            </w:r>
            <w:r>
              <w:rPr>
                <w:rFonts w:eastAsia="宋体"/>
                <w:b w:val="0"/>
                <w:sz w:val="20"/>
                <w:lang w:val="en-GB"/>
              </w:rPr>
              <w:t xml:space="preserve">d for </w:t>
            </w:r>
            <w:r>
              <w:rPr>
                <w:rFonts w:eastAsia="宋体" w:hint="eastAsia"/>
                <w:b w:val="0"/>
                <w:sz w:val="20"/>
                <w:lang w:val="en-GB"/>
              </w:rPr>
              <w:t>this feature.</w:t>
            </w:r>
            <w:r>
              <w:rPr>
                <w:rFonts w:eastAsia="宋体" w:hint="eastAsia"/>
                <w:b w:val="0"/>
                <w:sz w:val="20"/>
                <w:lang w:val="en-GB" w:eastAsia="zh-CN"/>
              </w:rPr>
              <w:t xml:space="preserve"> </w:t>
            </w:r>
          </w:p>
          <w:p w14:paraId="7848C4FB" w14:textId="75C4AA89" w:rsidR="00DC607A" w:rsidRPr="00DC607A" w:rsidRDefault="00DC607A" w:rsidP="00DC607A">
            <w:pPr>
              <w:ind w:left="993" w:hanging="993"/>
              <w:rPr>
                <w:rFonts w:ascii="Arial" w:eastAsia="Malgun Gothic" w:hAnsi="Arial" w:cs="Arial"/>
                <w:b/>
                <w:lang w:eastAsia="ko-KR"/>
              </w:rPr>
            </w:pPr>
            <w:r>
              <w:rPr>
                <w:rFonts w:ascii="Arial" w:hAnsi="Arial" w:cs="Arial"/>
                <w:b/>
              </w:rPr>
              <w:t xml:space="preserve">ACTION: </w:t>
            </w:r>
            <w:r>
              <w:rPr>
                <w:rFonts w:ascii="Arial" w:hAnsi="Arial" w:cs="Arial"/>
                <w:b/>
              </w:rPr>
              <w:tab/>
            </w:r>
            <w:r>
              <w:rPr>
                <w:rFonts w:ascii="Arial" w:hAnsi="Arial" w:cs="Arial"/>
              </w:rPr>
              <w:t>RAN3 kindly asks</w:t>
            </w:r>
            <w:r>
              <w:rPr>
                <w:rFonts w:ascii="Arial" w:hAnsi="Arial" w:cs="Arial" w:hint="eastAsia"/>
                <w:lang w:val="en-US" w:eastAsia="zh-CN"/>
              </w:rPr>
              <w:t xml:space="preserve"> RAN1</w:t>
            </w:r>
            <w:r>
              <w:rPr>
                <w:rFonts w:ascii="Arial" w:hAnsi="Arial" w:cs="Arial"/>
              </w:rPr>
              <w:t xml:space="preserve"> to take the above information into consideration</w:t>
            </w:r>
            <w:r>
              <w:rPr>
                <w:rFonts w:ascii="Arial" w:hAnsi="Arial" w:cs="Arial" w:hint="eastAsia"/>
                <w:lang w:val="en-US" w:eastAsia="zh-CN"/>
              </w:rPr>
              <w:t xml:space="preserve"> and provide the clarification</w:t>
            </w:r>
            <w:r>
              <w:rPr>
                <w:rFonts w:ascii="Arial" w:hAnsi="Arial" w:cs="Arial"/>
                <w:lang w:val="en-US" w:eastAsia="zh-CN"/>
              </w:rPr>
              <w:t xml:space="preserve"> on the understanding of RAN4’s reply LS and terminology used in RAN3</w:t>
            </w:r>
            <w:r>
              <w:rPr>
                <w:rFonts w:ascii="Arial" w:hAnsi="Arial" w:cs="Arial"/>
              </w:rPr>
              <w:t>.</w:t>
            </w:r>
          </w:p>
        </w:tc>
      </w:tr>
    </w:tbl>
    <w:p w14:paraId="2C6899A7" w14:textId="4DDC6835" w:rsidR="00912156" w:rsidRDefault="00DC607A" w:rsidP="00622423">
      <w:pPr>
        <w:snapToGrid w:val="0"/>
        <w:spacing w:beforeLines="50" w:before="120" w:after="0" w:line="288" w:lineRule="auto"/>
        <w:rPr>
          <w:rFonts w:ascii="Arial" w:hAnsi="Arial" w:cs="Arial"/>
          <w:lang w:eastAsia="zh-CN"/>
        </w:rPr>
      </w:pPr>
      <w:r>
        <w:rPr>
          <w:rFonts w:ascii="Arial" w:hAnsi="Arial" w:cs="Arial"/>
          <w:lang w:val="en-US" w:eastAsia="zh-CN"/>
        </w:rPr>
        <w:t xml:space="preserve">In RAN discussion, we revised the WID description of </w:t>
      </w:r>
      <w:r w:rsidRPr="00DC607A">
        <w:rPr>
          <w:rFonts w:ascii="Arial" w:hAnsi="Arial" w:cs="Arial"/>
          <w:lang w:val="en-US" w:eastAsia="zh-CN"/>
        </w:rPr>
        <w:t>L1/L2-centric inter-Cell mobility [2]</w:t>
      </w:r>
      <w:r w:rsidR="00622423">
        <w:rPr>
          <w:rFonts w:ascii="Arial" w:hAnsi="Arial" w:cs="Arial"/>
          <w:lang w:val="en-US" w:eastAsia="zh-CN"/>
        </w:rPr>
        <w:t xml:space="preserve">, and the term </w:t>
      </w:r>
      <w:r w:rsidR="00622423" w:rsidRPr="00622423">
        <w:rPr>
          <w:rFonts w:ascii="Arial" w:hAnsi="Arial" w:cs="Arial"/>
          <w:lang w:val="en-US" w:eastAsia="zh-CN"/>
        </w:rPr>
        <w:t xml:space="preserve">“L1/L2-centric inter-cell mobility” </w:t>
      </w:r>
      <w:r w:rsidR="00622423">
        <w:rPr>
          <w:rFonts w:ascii="Arial" w:hAnsi="Arial" w:cs="Arial"/>
          <w:lang w:val="en-US" w:eastAsia="zh-CN"/>
        </w:rPr>
        <w:t>was</w:t>
      </w:r>
      <w:r w:rsidR="00622423" w:rsidRPr="00622423">
        <w:rPr>
          <w:rFonts w:ascii="Arial" w:hAnsi="Arial" w:cs="Arial"/>
          <w:lang w:val="en-US" w:eastAsia="zh-CN"/>
        </w:rPr>
        <w:t xml:space="preserve"> replaced with “inter-cell beam management”.</w:t>
      </w:r>
      <w:r w:rsidR="00622423">
        <w:rPr>
          <w:rFonts w:ascii="Arial" w:hAnsi="Arial" w:cs="Arial"/>
          <w:lang w:val="en-US" w:eastAsia="zh-CN"/>
        </w:rPr>
        <w:t xml:space="preserve"> For the scope of inter-cell beam management, no change of serving cell is assumed. Thus, “non-serving cell” should not be used. </w:t>
      </w:r>
      <w:r w:rsidR="00622423" w:rsidRPr="00622423">
        <w:rPr>
          <w:rFonts w:ascii="Arial" w:hAnsi="Arial" w:cs="Arial"/>
          <w:lang w:val="en-US" w:eastAsia="zh-CN"/>
        </w:rPr>
        <w:t>RAN3 would use the term “a TRP associated with a PCI different from that of the serving cell”</w:t>
      </w:r>
      <w:r w:rsidR="00622423">
        <w:rPr>
          <w:rFonts w:ascii="Arial" w:hAnsi="Arial" w:cs="Arial"/>
          <w:lang w:val="en-US" w:eastAsia="zh-CN"/>
        </w:rPr>
        <w:t>, which is aligned with RAN1.</w:t>
      </w:r>
    </w:p>
    <w:p w14:paraId="509909B0" w14:textId="7B44F131" w:rsidR="00B33141" w:rsidRPr="00C9797A" w:rsidRDefault="00B33141" w:rsidP="001130DB">
      <w:pPr>
        <w:snapToGrid w:val="0"/>
        <w:spacing w:beforeLines="100" w:before="240" w:after="0" w:line="288" w:lineRule="auto"/>
        <w:rPr>
          <w:rFonts w:ascii="Arial" w:hAnsi="Arial" w:cs="Arial"/>
          <w:b/>
          <w:bCs/>
          <w:lang w:eastAsia="zh-CN"/>
        </w:rPr>
      </w:pPr>
      <w:r w:rsidRPr="00C9797A">
        <w:rPr>
          <w:rFonts w:ascii="Arial" w:hAnsi="Arial" w:cs="Arial"/>
          <w:b/>
          <w:bCs/>
          <w:lang w:eastAsia="zh-CN"/>
        </w:rPr>
        <w:t xml:space="preserve">Proposal 1: </w:t>
      </w:r>
      <w:r w:rsidR="00622423">
        <w:rPr>
          <w:rFonts w:ascii="Arial" w:hAnsi="Arial" w:cs="Arial"/>
          <w:b/>
          <w:bCs/>
          <w:lang w:eastAsia="zh-CN"/>
        </w:rPr>
        <w:t>Clarification</w:t>
      </w:r>
      <w:r w:rsidRPr="00C9797A">
        <w:rPr>
          <w:rFonts w:ascii="Arial" w:hAnsi="Arial" w:cs="Arial"/>
          <w:b/>
          <w:bCs/>
          <w:lang w:eastAsia="zh-CN"/>
        </w:rPr>
        <w:t xml:space="preserve"> </w:t>
      </w:r>
      <w:r w:rsidR="00C9797A" w:rsidRPr="00C9797A">
        <w:rPr>
          <w:rFonts w:ascii="Arial" w:hAnsi="Arial" w:cs="Arial"/>
          <w:b/>
          <w:bCs/>
          <w:lang w:eastAsia="zh-CN"/>
        </w:rPr>
        <w:t xml:space="preserve">to </w:t>
      </w:r>
      <w:r w:rsidRPr="00C9797A">
        <w:rPr>
          <w:rFonts w:ascii="Arial" w:hAnsi="Arial" w:cs="Arial"/>
          <w:b/>
          <w:bCs/>
          <w:lang w:eastAsia="zh-CN"/>
        </w:rPr>
        <w:t>RAN</w:t>
      </w:r>
      <w:r w:rsidR="00622423">
        <w:rPr>
          <w:rFonts w:ascii="Arial" w:hAnsi="Arial" w:cs="Arial"/>
          <w:b/>
          <w:bCs/>
          <w:lang w:eastAsia="zh-CN"/>
        </w:rPr>
        <w:t>3</w:t>
      </w:r>
      <w:r w:rsidRPr="00C9797A">
        <w:rPr>
          <w:rFonts w:ascii="Arial" w:hAnsi="Arial" w:cs="Arial"/>
          <w:b/>
          <w:bCs/>
          <w:lang w:eastAsia="zh-CN"/>
        </w:rPr>
        <w:t xml:space="preserve"> </w:t>
      </w:r>
      <w:r w:rsidR="00C9797A" w:rsidRPr="00C9797A">
        <w:rPr>
          <w:rFonts w:ascii="Arial" w:hAnsi="Arial" w:cs="Arial"/>
          <w:b/>
          <w:bCs/>
          <w:lang w:eastAsia="zh-CN"/>
        </w:rPr>
        <w:t>as follows:</w:t>
      </w:r>
    </w:p>
    <w:p w14:paraId="3677C472" w14:textId="0197987B" w:rsidR="00B33141" w:rsidRPr="00622423" w:rsidRDefault="00622423" w:rsidP="009A2BE4">
      <w:pPr>
        <w:pStyle w:val="af9"/>
        <w:numPr>
          <w:ilvl w:val="0"/>
          <w:numId w:val="21"/>
        </w:numPr>
        <w:snapToGrid w:val="0"/>
        <w:spacing w:beforeLines="50" w:before="120" w:line="288" w:lineRule="auto"/>
        <w:rPr>
          <w:rFonts w:ascii="Arial" w:hAnsi="Arial" w:cs="Arial"/>
          <w:lang w:eastAsia="zh-CN"/>
        </w:rPr>
      </w:pPr>
      <w:r w:rsidRPr="00622423">
        <w:rPr>
          <w:rFonts w:ascii="Arial" w:hAnsi="Arial" w:cs="Arial"/>
          <w:b/>
          <w:bCs/>
          <w:sz w:val="20"/>
          <w:szCs w:val="20"/>
          <w:lang w:eastAsia="zh-CN"/>
        </w:rPr>
        <w:t>RAN3 would use the term “a TRP associated with a PCI different from that of the serving cell”, which is aligned with RAN1.</w:t>
      </w:r>
    </w:p>
    <w:p w14:paraId="08A37F47" w14:textId="77777777" w:rsidR="0013703D" w:rsidRPr="007F6112" w:rsidRDefault="0013703D" w:rsidP="0013703D">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p w14:paraId="275414E3" w14:textId="17835EA3" w:rsidR="0013703D" w:rsidRDefault="0013703D" w:rsidP="0013703D">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t>
      </w:r>
      <w:r w:rsidR="00886131">
        <w:rPr>
          <w:rFonts w:ascii="Arial" w:eastAsia="Batang" w:hAnsi="Arial" w:cs="Arial"/>
        </w:rPr>
        <w:t xml:space="preserve">we provide our </w:t>
      </w:r>
      <w:r w:rsidR="00C9797A">
        <w:rPr>
          <w:rFonts w:ascii="Arial" w:eastAsia="Batang" w:hAnsi="Arial" w:cs="Arial"/>
        </w:rPr>
        <w:t>views on</w:t>
      </w:r>
      <w:r w:rsidR="00622423">
        <w:rPr>
          <w:rFonts w:ascii="Arial" w:eastAsia="Batang" w:hAnsi="Arial" w:cs="Arial"/>
        </w:rPr>
        <w:t xml:space="preserve"> the clarification to RAN3 on inter-cell beam management as follows</w:t>
      </w:r>
      <w:r w:rsidR="00886131">
        <w:rPr>
          <w:rFonts w:ascii="Arial" w:eastAsia="Batang" w:hAnsi="Arial" w:cs="Arial"/>
        </w:rPr>
        <w:t>:</w:t>
      </w:r>
    </w:p>
    <w:p w14:paraId="7F987709" w14:textId="77777777" w:rsidR="00622423" w:rsidRPr="00C9797A" w:rsidRDefault="00622423" w:rsidP="00622423">
      <w:pPr>
        <w:snapToGrid w:val="0"/>
        <w:spacing w:beforeLines="50" w:before="120" w:after="0" w:line="288" w:lineRule="auto"/>
        <w:rPr>
          <w:rFonts w:ascii="Arial" w:hAnsi="Arial" w:cs="Arial"/>
          <w:b/>
          <w:bCs/>
          <w:lang w:eastAsia="zh-CN"/>
        </w:rPr>
      </w:pPr>
      <w:r w:rsidRPr="00C9797A">
        <w:rPr>
          <w:rFonts w:ascii="Arial" w:hAnsi="Arial" w:cs="Arial"/>
          <w:b/>
          <w:bCs/>
          <w:lang w:eastAsia="zh-CN"/>
        </w:rPr>
        <w:t xml:space="preserve">Proposal 1: </w:t>
      </w:r>
      <w:r>
        <w:rPr>
          <w:rFonts w:ascii="Arial" w:hAnsi="Arial" w:cs="Arial"/>
          <w:b/>
          <w:bCs/>
          <w:lang w:eastAsia="zh-CN"/>
        </w:rPr>
        <w:t>Clarification</w:t>
      </w:r>
      <w:r w:rsidRPr="00C9797A">
        <w:rPr>
          <w:rFonts w:ascii="Arial" w:hAnsi="Arial" w:cs="Arial"/>
          <w:b/>
          <w:bCs/>
          <w:lang w:eastAsia="zh-CN"/>
        </w:rPr>
        <w:t xml:space="preserve"> to RAN</w:t>
      </w:r>
      <w:r>
        <w:rPr>
          <w:rFonts w:ascii="Arial" w:hAnsi="Arial" w:cs="Arial"/>
          <w:b/>
          <w:bCs/>
          <w:lang w:eastAsia="zh-CN"/>
        </w:rPr>
        <w:t>3</w:t>
      </w:r>
      <w:r w:rsidRPr="00C9797A">
        <w:rPr>
          <w:rFonts w:ascii="Arial" w:hAnsi="Arial" w:cs="Arial"/>
          <w:b/>
          <w:bCs/>
          <w:lang w:eastAsia="zh-CN"/>
        </w:rPr>
        <w:t xml:space="preserve"> as follows:</w:t>
      </w:r>
    </w:p>
    <w:p w14:paraId="5FB218A3" w14:textId="332AA03D" w:rsidR="0013703D" w:rsidRPr="00622423" w:rsidRDefault="00622423" w:rsidP="00803640">
      <w:pPr>
        <w:pStyle w:val="af9"/>
        <w:numPr>
          <w:ilvl w:val="0"/>
          <w:numId w:val="21"/>
        </w:numPr>
        <w:snapToGrid w:val="0"/>
        <w:spacing w:beforeLines="50" w:before="120" w:line="288" w:lineRule="auto"/>
        <w:rPr>
          <w:rFonts w:ascii="Arial" w:hAnsi="Arial" w:cs="Arial"/>
          <w:lang w:eastAsia="zh-CN"/>
        </w:rPr>
      </w:pPr>
      <w:r w:rsidRPr="00622423">
        <w:rPr>
          <w:rFonts w:ascii="Arial" w:hAnsi="Arial" w:cs="Arial"/>
          <w:b/>
          <w:bCs/>
          <w:sz w:val="20"/>
          <w:szCs w:val="20"/>
          <w:lang w:eastAsia="zh-CN"/>
        </w:rPr>
        <w:t>RAN3 would use the term “a TRP associated with a PCI different from that of the serving cell”, which is aligned with RAN1.</w:t>
      </w:r>
    </w:p>
    <w:p w14:paraId="4E680CB1" w14:textId="77777777" w:rsidR="0013703D" w:rsidRPr="007F6112" w:rsidRDefault="0013703D" w:rsidP="0013703D">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0251FCF8" w14:textId="6F53DB1A" w:rsidR="00DF2E03" w:rsidRDefault="00DC607A" w:rsidP="00DC607A">
      <w:pPr>
        <w:widowControl w:val="0"/>
        <w:numPr>
          <w:ilvl w:val="0"/>
          <w:numId w:val="2"/>
        </w:numPr>
        <w:overflowPunct/>
        <w:autoSpaceDE/>
        <w:adjustRightInd/>
        <w:spacing w:line="288" w:lineRule="auto"/>
        <w:jc w:val="both"/>
        <w:textAlignment w:val="auto"/>
        <w:rPr>
          <w:rFonts w:ascii="Arial" w:eastAsia="宋体" w:hAnsi="Arial"/>
        </w:rPr>
      </w:pPr>
      <w:bookmarkStart w:id="2" w:name="_Ref95380697"/>
      <w:r w:rsidRPr="00DC607A">
        <w:rPr>
          <w:rFonts w:ascii="Arial" w:eastAsia="宋体" w:hAnsi="Arial"/>
        </w:rPr>
        <w:t>R3-216234</w:t>
      </w:r>
      <w:r>
        <w:rPr>
          <w:rFonts w:ascii="Arial" w:eastAsia="宋体" w:hAnsi="Arial"/>
        </w:rPr>
        <w:t xml:space="preserve">, </w:t>
      </w:r>
      <w:bookmarkStart w:id="3" w:name="_Ref95380712"/>
      <w:bookmarkEnd w:id="2"/>
      <w:r w:rsidRPr="00DC607A">
        <w:rPr>
          <w:rFonts w:ascii="Arial" w:eastAsia="宋体" w:hAnsi="Arial"/>
        </w:rPr>
        <w:t>Reply LS on TCI State Update for L1/L2-Centric Inter-Cell Mobility to RAN3</w:t>
      </w:r>
      <w:bookmarkEnd w:id="3"/>
    </w:p>
    <w:p w14:paraId="7F095759" w14:textId="71F5564E" w:rsidR="00DC607A" w:rsidRPr="007E7A70" w:rsidRDefault="00690608" w:rsidP="00DC607A">
      <w:pPr>
        <w:widowControl w:val="0"/>
        <w:numPr>
          <w:ilvl w:val="0"/>
          <w:numId w:val="2"/>
        </w:numPr>
        <w:overflowPunct/>
        <w:autoSpaceDE/>
        <w:adjustRightInd/>
        <w:spacing w:line="288" w:lineRule="auto"/>
        <w:jc w:val="both"/>
        <w:textAlignment w:val="auto"/>
        <w:rPr>
          <w:rFonts w:ascii="Arial" w:eastAsia="宋体" w:hAnsi="Arial"/>
        </w:rPr>
      </w:pPr>
      <w:r>
        <w:rPr>
          <w:rFonts w:ascii="Arial" w:eastAsia="宋体" w:hAnsi="Arial" w:hint="eastAsia"/>
          <w:lang w:eastAsia="zh-CN"/>
        </w:rPr>
        <w:t>R</w:t>
      </w:r>
      <w:r>
        <w:rPr>
          <w:rFonts w:ascii="Arial" w:eastAsia="宋体" w:hAnsi="Arial"/>
          <w:lang w:eastAsia="zh-CN"/>
        </w:rPr>
        <w:t>P-211586, Revised WID: Further enhancement on MIMO for NR</w:t>
      </w:r>
    </w:p>
    <w:p w14:paraId="79133B54" w14:textId="77777777" w:rsidR="00942EF3" w:rsidRPr="0013703D" w:rsidRDefault="00942EF3" w:rsidP="0013703D">
      <w:pPr>
        <w:snapToGrid w:val="0"/>
        <w:spacing w:beforeLines="50" w:before="120" w:after="0" w:line="288" w:lineRule="auto"/>
        <w:rPr>
          <w:rFonts w:ascii="Arial" w:hAnsi="Arial" w:cs="Arial"/>
          <w:b/>
          <w:bCs/>
          <w:i/>
          <w:iCs/>
          <w:u w:val="single"/>
          <w:lang w:eastAsia="zh-CN"/>
        </w:rPr>
      </w:pPr>
    </w:p>
    <w:sectPr w:rsidR="00942EF3" w:rsidRPr="0013703D" w:rsidSect="00B13338">
      <w:headerReference w:type="even" r:id="rId14"/>
      <w:footerReference w:type="even" r:id="rId15"/>
      <w:footerReference w:type="default" r:id="rId16"/>
      <w:footnotePr>
        <w:numRestart w:val="eachSect"/>
      </w:footnotePr>
      <w:pgSz w:w="12240" w:h="15840" w:code="1"/>
      <w:pgMar w:top="561" w:right="1134" w:bottom="709"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ED918" w14:textId="77777777" w:rsidR="00D54B16" w:rsidRDefault="00D54B16">
      <w:r>
        <w:separator/>
      </w:r>
    </w:p>
  </w:endnote>
  <w:endnote w:type="continuationSeparator" w:id="0">
    <w:p w14:paraId="65A8AD56" w14:textId="77777777" w:rsidR="00D54B16" w:rsidRDefault="00D5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26174" w14:textId="77777777" w:rsidR="00D54B16" w:rsidRDefault="00D54B16">
      <w:r>
        <w:separator/>
      </w:r>
    </w:p>
  </w:footnote>
  <w:footnote w:type="continuationSeparator" w:id="0">
    <w:p w14:paraId="7673C16C" w14:textId="77777777" w:rsidR="00D54B16" w:rsidRDefault="00D54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sidP="006B4472">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B152E"/>
    <w:multiLevelType w:val="multilevel"/>
    <w:tmpl w:val="051B152E"/>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376218"/>
    <w:multiLevelType w:val="hybridMultilevel"/>
    <w:tmpl w:val="EA44EB7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2D378E0"/>
    <w:multiLevelType w:val="hybridMultilevel"/>
    <w:tmpl w:val="F5F43BE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1043DD"/>
    <w:multiLevelType w:val="hybridMultilevel"/>
    <w:tmpl w:val="706411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E91F97"/>
    <w:multiLevelType w:val="multilevel"/>
    <w:tmpl w:val="794AA5D2"/>
    <w:lvl w:ilvl="0">
      <w:start w:val="1"/>
      <w:numFmt w:val="decimal"/>
      <w:lvlText w:val="%1."/>
      <w:lvlJc w:val="left"/>
      <w:pPr>
        <w:ind w:left="360" w:hanging="360"/>
      </w:pPr>
      <w:rPr>
        <w:rFonts w:ascii="Times New Roman" w:eastAsia="宋体" w:hAnsi="Times New Roman" w:cs="Times New Roman" w:hint="default"/>
        <w:b/>
        <w:sz w:val="28"/>
        <w:szCs w:val="28"/>
      </w:rPr>
    </w:lvl>
    <w:lvl w:ilvl="1">
      <w:start w:val="1"/>
      <w:numFmt w:val="decimal"/>
      <w:isLgl/>
      <w:lvlText w:val="%1.%2"/>
      <w:lvlJc w:val="left"/>
      <w:pPr>
        <w:ind w:left="400" w:hanging="400"/>
      </w:pPr>
      <w:rPr>
        <w:b/>
        <w:sz w:val="24"/>
        <w:szCs w:val="24"/>
      </w:r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9"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DB49F8"/>
    <w:multiLevelType w:val="hybridMultilevel"/>
    <w:tmpl w:val="E6FAB48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FC2D29"/>
    <w:multiLevelType w:val="hybridMultilevel"/>
    <w:tmpl w:val="7E5AE7E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3"/>
  </w:num>
  <w:num w:numId="4">
    <w:abstractNumId w:val="11"/>
  </w:num>
  <w:num w:numId="5">
    <w:abstractNumId w:val="12"/>
  </w:num>
  <w:num w:numId="6">
    <w:abstractNumId w:val="6"/>
  </w:num>
  <w:num w:numId="7">
    <w:abstractNumId w:val="4"/>
  </w:num>
  <w:num w:numId="8">
    <w:abstractNumId w:val="13"/>
  </w:num>
  <w:num w:numId="9">
    <w:abstractNumId w:val="15"/>
  </w:num>
  <w:num w:numId="10">
    <w:abstractNumId w:val="1"/>
  </w:num>
  <w:num w:numId="11">
    <w:abstractNumId w:val="5"/>
  </w:num>
  <w:num w:numId="12">
    <w:abstractNumId w:val="16"/>
  </w:num>
  <w:num w:numId="13">
    <w:abstractNumId w:val="22"/>
  </w:num>
  <w:num w:numId="14">
    <w:abstractNumId w:val="8"/>
  </w:num>
  <w:num w:numId="15">
    <w:abstractNumId w:val="20"/>
  </w:num>
  <w:num w:numId="16">
    <w:abstractNumId w:val="21"/>
  </w:num>
  <w:num w:numId="17">
    <w:abstractNumId w:val="2"/>
  </w:num>
  <w:num w:numId="18">
    <w:abstractNumId w:val="19"/>
  </w:num>
  <w:num w:numId="19">
    <w:abstractNumId w:val="10"/>
  </w:num>
  <w:num w:numId="20">
    <w:abstractNumId w:val="17"/>
  </w:num>
  <w:num w:numId="21">
    <w:abstractNumId w:val="14"/>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2FFB"/>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4FC"/>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50F"/>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AF9"/>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0DB"/>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3D8"/>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3D"/>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CA7"/>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5DF"/>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13D"/>
    <w:rsid w:val="00170397"/>
    <w:rsid w:val="001706E4"/>
    <w:rsid w:val="001708D0"/>
    <w:rsid w:val="001709AE"/>
    <w:rsid w:val="00170F8D"/>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3A9"/>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690"/>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58"/>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11F"/>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0C"/>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ED3"/>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B72"/>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37"/>
    <w:rsid w:val="0042654A"/>
    <w:rsid w:val="00426A93"/>
    <w:rsid w:val="00426DFA"/>
    <w:rsid w:val="004276E3"/>
    <w:rsid w:val="004276F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A94"/>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18C"/>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33C"/>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0E2"/>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7B3"/>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3E4F"/>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4B3"/>
    <w:rsid w:val="005719CC"/>
    <w:rsid w:val="00571C9B"/>
    <w:rsid w:val="00571D1D"/>
    <w:rsid w:val="00571E38"/>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66"/>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A9E"/>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3"/>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39F"/>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8FA"/>
    <w:rsid w:val="00687BA5"/>
    <w:rsid w:val="00687CDE"/>
    <w:rsid w:val="00687E09"/>
    <w:rsid w:val="006901CD"/>
    <w:rsid w:val="006905B3"/>
    <w:rsid w:val="00690608"/>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472"/>
    <w:rsid w:val="006B49F6"/>
    <w:rsid w:val="006B4D4E"/>
    <w:rsid w:val="006B526B"/>
    <w:rsid w:val="006B5368"/>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96B"/>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1FD5"/>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E3"/>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C64"/>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131"/>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AD"/>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7B"/>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156"/>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F3"/>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2A"/>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D20"/>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53"/>
    <w:rsid w:val="00A511FB"/>
    <w:rsid w:val="00A514EB"/>
    <w:rsid w:val="00A51A45"/>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66"/>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67A"/>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CBC"/>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A68"/>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906"/>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E94"/>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33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5F5"/>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141"/>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4DFF"/>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4CD"/>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6D1"/>
    <w:rsid w:val="00C52712"/>
    <w:rsid w:val="00C5285D"/>
    <w:rsid w:val="00C52876"/>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394"/>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222"/>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668"/>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97A"/>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54"/>
    <w:rsid w:val="00CB0C8C"/>
    <w:rsid w:val="00CB0E03"/>
    <w:rsid w:val="00CB0EC5"/>
    <w:rsid w:val="00CB11BD"/>
    <w:rsid w:val="00CB1368"/>
    <w:rsid w:val="00CB1396"/>
    <w:rsid w:val="00CB14AE"/>
    <w:rsid w:val="00CB14B2"/>
    <w:rsid w:val="00CB153C"/>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B92"/>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0DD7"/>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BF"/>
    <w:rsid w:val="00D27FC5"/>
    <w:rsid w:val="00D3074E"/>
    <w:rsid w:val="00D30BC5"/>
    <w:rsid w:val="00D30C46"/>
    <w:rsid w:val="00D30D92"/>
    <w:rsid w:val="00D30FC7"/>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2A"/>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B1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54"/>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96"/>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B2"/>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7A"/>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2E03"/>
    <w:rsid w:val="00DF3195"/>
    <w:rsid w:val="00DF32AF"/>
    <w:rsid w:val="00DF3307"/>
    <w:rsid w:val="00DF3358"/>
    <w:rsid w:val="00DF359D"/>
    <w:rsid w:val="00DF3A17"/>
    <w:rsid w:val="00DF3A6C"/>
    <w:rsid w:val="00DF3D23"/>
    <w:rsid w:val="00DF3EC5"/>
    <w:rsid w:val="00DF3FD9"/>
    <w:rsid w:val="00DF4158"/>
    <w:rsid w:val="00DF41FA"/>
    <w:rsid w:val="00DF4430"/>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62B"/>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4C9"/>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596"/>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8C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2C3"/>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451"/>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96C"/>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AB"/>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790"/>
    <w:rsid w:val="00F92ADD"/>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2BF"/>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2423"/>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uiPriority w:val="99"/>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uiPriority w:val="99"/>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character" w:customStyle="1" w:styleId="apple-converted-space">
    <w:name w:val="apple-converted-space"/>
    <w:qFormat/>
    <w:rsid w:val="00304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591895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916376">
      <w:bodyDiv w:val="1"/>
      <w:marLeft w:val="0"/>
      <w:marRight w:val="0"/>
      <w:marTop w:val="0"/>
      <w:marBottom w:val="0"/>
      <w:divBdr>
        <w:top w:val="none" w:sz="0" w:space="0" w:color="auto"/>
        <w:left w:val="none" w:sz="0" w:space="0" w:color="auto"/>
        <w:bottom w:val="none" w:sz="0" w:space="0" w:color="auto"/>
        <w:right w:val="none" w:sz="0" w:space="0" w:color="auto"/>
      </w:divBdr>
    </w:div>
    <w:div w:id="132501267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D8F816-CF59-4553-97CB-43AA7694D2B8}">
  <ds:schemaRefs>
    <ds:schemaRef ds:uri="http://schemas.openxmlformats.org/officeDocument/2006/bibliography"/>
  </ds:schemaRefs>
</ds:datastoreItem>
</file>

<file path=customXml/itemProps6.xml><?xml version="1.0" encoding="utf-8"?>
<ds:datastoreItem xmlns:ds="http://schemas.openxmlformats.org/officeDocument/2006/customXml" ds:itemID="{510A733F-8EF0-4BB4-9165-FA1C0A2CC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367</Words>
  <Characters>2092</Characters>
  <Application>Microsoft Office Word</Application>
  <DocSecurity>0</DocSecurity>
  <Lines>17</Lines>
  <Paragraphs>4</Paragraphs>
  <ScaleCrop>false</ScaleCrop>
  <Company>CMCC</Company>
  <LinksUpToDate>false</LinksUpToDate>
  <CharactersWithSpaces>2455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8</cp:revision>
  <cp:lastPrinted>2016-05-08T07:33:00Z</cp:lastPrinted>
  <dcterms:created xsi:type="dcterms:W3CDTF">2022-02-10T06:10:00Z</dcterms:created>
  <dcterms:modified xsi:type="dcterms:W3CDTF">2022-02-11T10:09:00Z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